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Nikko.</w:t>
      </w:r>
    </w:p>
    <w:p>
      <w:pPr/>
      <w:r>
        <w:rPr/>
        <w:t xml:space="preserve">
	 Breakfast at the hotel.
 08:30-Nikko Excursionby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Return to the hotel in Tokyo.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2024-05-20T08:17:45+03:00</dcterms:created>
  <dcterms:modified xsi:type="dcterms:W3CDTF">2024-05-20T08:17:45+03:00</dcterms:modified>
</cp:coreProperties>
</file>

<file path=docProps/custom.xml><?xml version="1.0" encoding="utf-8"?>
<Properties xmlns="http://schemas.openxmlformats.org/officeDocument/2006/custom-properties" xmlns:vt="http://schemas.openxmlformats.org/officeDocument/2006/docPropsVTypes"/>
</file>